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A600F0" w:rsidRPr="00A600F0" w:rsidTr="00A600F0">
        <w:trPr>
          <w:tblCellSpacing w:w="0" w:type="dxa"/>
          <w:jc w:val="right"/>
        </w:trPr>
        <w:tc>
          <w:tcPr>
            <w:tcW w:w="1500" w:type="dxa"/>
            <w:vAlign w:val="center"/>
            <w:hideMark/>
          </w:tcPr>
          <w:p w:rsidR="00A600F0" w:rsidRPr="00A600F0" w:rsidRDefault="00A600F0" w:rsidP="00A600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A600F0" w:rsidRPr="00A600F0" w:rsidRDefault="00A600F0" w:rsidP="00A600F0">
            <w:pPr>
              <w:spacing w:after="0" w:line="240" w:lineRule="auto"/>
              <w:jc w:val="right"/>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A600F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A600F0">
              <w:rPr>
                <w:rFonts w:ascii="Times New Roman" w:eastAsia="Times New Roman" w:hAnsi="Times New Roman" w:cs="Times New Roman"/>
                <w:sz w:val="24"/>
                <w:szCs w:val="24"/>
              </w:rPr>
              <w:t xml:space="preserve">  </w:t>
            </w:r>
          </w:p>
        </w:tc>
      </w:tr>
    </w:tbl>
    <w:p w:rsidR="00A600F0" w:rsidRPr="00A600F0" w:rsidRDefault="00A600F0" w:rsidP="00A600F0">
      <w:pPr>
        <w:spacing w:after="0" w:line="240" w:lineRule="auto"/>
        <w:jc w:val="center"/>
        <w:textAlignment w:val="center"/>
        <w:rPr>
          <w:rFonts w:ascii="Times" w:eastAsia="Times New Roman" w:hAnsi="Times" w:cs="Times"/>
          <w:b/>
          <w:bCs/>
          <w:color w:val="000000"/>
          <w:sz w:val="31"/>
          <w:szCs w:val="31"/>
        </w:rPr>
      </w:pPr>
      <w:r w:rsidRPr="00A600F0">
        <w:rPr>
          <w:rFonts w:ascii="Times" w:eastAsia="Times New Roman" w:hAnsi="Times" w:cs="Times"/>
          <w:b/>
          <w:bCs/>
          <w:color w:val="000000"/>
          <w:sz w:val="31"/>
          <w:szCs w:val="31"/>
        </w:rPr>
        <w:t>Sáp Községi Önkormányzat képviselő testületének 6/2018 (IX.28.) önkormányzati rendelete</w:t>
      </w:r>
    </w:p>
    <w:p w:rsidR="00A600F0" w:rsidRPr="00A600F0" w:rsidRDefault="00A600F0" w:rsidP="00A600F0">
      <w:pPr>
        <w:spacing w:after="0" w:line="240" w:lineRule="auto"/>
        <w:jc w:val="center"/>
        <w:textAlignment w:val="center"/>
        <w:rPr>
          <w:rFonts w:ascii="Times" w:eastAsia="Times New Roman" w:hAnsi="Times" w:cs="Times"/>
          <w:color w:val="000000"/>
          <w:sz w:val="15"/>
          <w:szCs w:val="15"/>
        </w:rPr>
      </w:pPr>
      <w:r w:rsidRPr="00A600F0">
        <w:rPr>
          <w:rFonts w:ascii="Times" w:eastAsia="Times New Roman" w:hAnsi="Times" w:cs="Times"/>
          <w:color w:val="000000"/>
          <w:sz w:val="15"/>
          <w:szCs w:val="15"/>
        </w:rPr>
        <w:t>Hatályos:2018-10-01 -tól</w:t>
      </w:r>
    </w:p>
    <w:p w:rsidR="00A600F0" w:rsidRPr="00A600F0" w:rsidRDefault="00A600F0" w:rsidP="00A600F0">
      <w:pPr>
        <w:spacing w:after="80" w:line="240" w:lineRule="auto"/>
        <w:jc w:val="center"/>
        <w:rPr>
          <w:rFonts w:ascii="Times" w:eastAsia="Times New Roman" w:hAnsi="Times" w:cs="Times"/>
          <w:b/>
          <w:bCs/>
          <w:sz w:val="24"/>
          <w:szCs w:val="24"/>
        </w:rPr>
      </w:pPr>
      <w:r w:rsidRPr="00A600F0">
        <w:rPr>
          <w:rFonts w:ascii="Times" w:eastAsia="Times New Roman" w:hAnsi="Times" w:cs="Times"/>
          <w:b/>
          <w:bCs/>
          <w:sz w:val="24"/>
          <w:szCs w:val="24"/>
        </w:rPr>
        <w:t>Sáp Községi Önkormányzat képviselő testületének 6/2018 (IX.28.) önkormányzati rendelete</w:t>
      </w:r>
    </w:p>
    <w:p w:rsidR="00A600F0" w:rsidRPr="00A600F0" w:rsidRDefault="00A600F0" w:rsidP="00A600F0">
      <w:pPr>
        <w:spacing w:line="240" w:lineRule="auto"/>
        <w:jc w:val="center"/>
        <w:rPr>
          <w:rFonts w:ascii="Times" w:eastAsia="Times New Roman" w:hAnsi="Times" w:cs="Times"/>
          <w:b/>
          <w:bCs/>
          <w:sz w:val="24"/>
          <w:szCs w:val="24"/>
        </w:rPr>
      </w:pPr>
      <w:r w:rsidRPr="00A600F0">
        <w:rPr>
          <w:rFonts w:ascii="Times" w:eastAsia="Times New Roman" w:hAnsi="Times" w:cs="Times"/>
          <w:b/>
          <w:bCs/>
          <w:sz w:val="24"/>
          <w:szCs w:val="24"/>
        </w:rPr>
        <w:t>a települési hulladékkal kapcsolatos önkormányzati hulladékgazdálkodási közfeladat és a hulladékgazdálkodási közszolgáltatás ellátásáról</w:t>
      </w:r>
    </w:p>
    <w:p w:rsidR="00A600F0" w:rsidRPr="00A600F0" w:rsidRDefault="00A600F0" w:rsidP="00A600F0">
      <w:pPr>
        <w:spacing w:after="0" w:line="240" w:lineRule="auto"/>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Sáp Községi Önkormányzat Képviselő-testülete a hulladékról szóló 2012. évi CLXXXV. törvény (a továbbiakban: Ht.) 35. § (1)-ben és 88. § (4) bekezdés a), b) és c) pontjában foglalt felhatalmazás alapján, a Magyarország helyi önkormányzatairól szóló 2011. évi CLXXXIX. törvény 13. § (1) bekezdés 19. pontja szerinti feladatkörében eljárva az alábbi rendeletet alkotja: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Általános rendelkezések</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rendelet célja</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Sáp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Zrt. (továbbiakban: Koordináló szerv) közreműködésével biztosítja.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rendelet hatálya</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2.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közszolgáltató Sáp község közigazgatási területén (bel- és külterületén) köteles biztosítani a települési hulladékkal kapcsolatos hulladékgazdálkodási közszolgáltatást (közszolgáltatási terület).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lastRenderedPageBreak/>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3.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xml:space="preserve">(2) A település közigazgatási területén a települési hulladékkal kapcsolatos közfeladat ellátása keretében biztosított hulladékgazdálkodási közszolgáltatás teljesítésére a </w:t>
      </w:r>
      <w:bookmarkStart w:id="0" w:name="_Hlk496698512"/>
      <w:r w:rsidRPr="00A600F0">
        <w:rPr>
          <w:rFonts w:ascii="Times" w:eastAsia="Times New Roman" w:hAnsi="Times" w:cs="Times"/>
          <w:sz w:val="24"/>
          <w:szCs w:val="24"/>
          <w:u w:val="single"/>
        </w:rPr>
        <w:t>Debreceni Hulladék Közszolgáltató Nonprofit Kft.</w:t>
      </w:r>
      <w:bookmarkEnd w:id="0"/>
      <w:r w:rsidRPr="00A600F0">
        <w:rPr>
          <w:rFonts w:ascii="Times" w:eastAsia="Times New Roman" w:hAnsi="Times" w:cs="Times"/>
          <w:sz w:val="24"/>
          <w:szCs w:val="24"/>
        </w:rPr>
        <w:t xml:space="preserve"> 4031 Debrecen, István u. 136. (a továbbiakban: közszolgáltató) jogosult és köteles.</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sz w:val="24"/>
          <w:szCs w:val="24"/>
        </w:rPr>
        <w:t>(3) A közszolgáltató a Bihari Hulladékgazdálkodási Nonprofit Kft. 4100 Berettyóújfalu, Oláh Zs. 1-1. mint közszolgáltatói alvállalkozó útján látja el az alábbi hulladékgazdálkodási tevékenységeket: a hulladék gyűjtése, szállítása, kezelése. A közszolgáltatói alvállalkozónak a közszolgáltatás egészéhez viszonyított aránya 99,3 %.”</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A települési hulladék elhelyezését, előkezelését, ártalmatlanítását a közszolgáltatói alvállalkozó kizárólag az erre a célra kijelölt hulladékgazdálkodási létesítményben végezheti (47. számú főút Berettyóújfalu-Furta közötti szakasza, 43-44. km).</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4.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hulladékgazdálkodási közszolgáltatásra vonatkozó szabályozást a rendeletben foglaltakon túlmenően, a hulladékról szóló 2012. évi CLXXXV. törvény és végrehajtási rendeletei szerinti tartalommal kell alkalmazni.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hulladékgazdálkodási közszolgáltatási szerződés</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5.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Az Önkormányzat, az önkormányzati hulladékgazdálkodási közfeladat ellátását a közszolgáltatóval kötött hulladékgazdálkodási közszolgáltatási szerződés útján biztosítja.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közszolgáltatási szerződés tartalmi elemei:</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a közszolgáltató azonosító adatai,</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b)   a közszolgáltatási tevékenység megnevezése,</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c)    a közszolgáltatási terület,</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d)   a közszolgáltatási tevékenység végzésének időtartama,</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e)    a közszolgáltatás teljesítésének feltételei,</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f)    a közszolgáltató kötelezettségei,</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g)   az önkormányzat kötelezettségei,</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xml:space="preserve"> h)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A600F0">
          <w:rPr>
            <w:rFonts w:ascii="Times" w:eastAsia="Times New Roman" w:hAnsi="Times" w:cs="Times"/>
            <w:color w:val="0000FF"/>
            <w:sz w:val="24"/>
            <w:szCs w:val="24"/>
            <w:u w:val="single"/>
          </w:rPr>
          <w:t>69/2016. (III. 31.) Korm. rendelet 4. § (1)</w:t>
        </w:r>
      </w:hyperlink>
      <w:r w:rsidRPr="00A600F0">
        <w:rPr>
          <w:rFonts w:ascii="Times" w:eastAsia="Times New Roman" w:hAnsi="Times" w:cs="Times"/>
          <w:sz w:val="24"/>
          <w:szCs w:val="24"/>
        </w:rPr>
        <w:t>-</w:t>
      </w:r>
      <w:hyperlink r:id="rId10" w:tgtFrame="_blank" w:history="1">
        <w:r w:rsidRPr="00A600F0">
          <w:rPr>
            <w:rFonts w:ascii="Times" w:eastAsia="Times New Roman" w:hAnsi="Times" w:cs="Times"/>
            <w:color w:val="0000FF"/>
            <w:sz w:val="24"/>
            <w:szCs w:val="24"/>
            <w:u w:val="single"/>
          </w:rPr>
          <w:t>(3) bekezdéseiben</w:t>
        </w:r>
      </w:hyperlink>
      <w:r w:rsidRPr="00A600F0">
        <w:rPr>
          <w:rFonts w:ascii="Times" w:eastAsia="Times New Roman" w:hAnsi="Times" w:cs="Times"/>
          <w:sz w:val="24"/>
          <w:szCs w:val="24"/>
        </w:rPr>
        <w:t xml:space="preserve"> és </w:t>
      </w:r>
      <w:hyperlink r:id="rId11" w:anchor="sid49664" w:history="1">
        <w:r w:rsidRPr="00A600F0">
          <w:rPr>
            <w:rFonts w:ascii="Times" w:eastAsia="Times New Roman" w:hAnsi="Times" w:cs="Times"/>
            <w:color w:val="0000FF"/>
            <w:sz w:val="24"/>
            <w:szCs w:val="24"/>
            <w:u w:val="single"/>
          </w:rPr>
          <w:t>11</w:t>
        </w:r>
      </w:hyperlink>
      <w:r w:rsidRPr="00A600F0">
        <w:rPr>
          <w:rFonts w:ascii="Times" w:eastAsia="Times New Roman" w:hAnsi="Times" w:cs="Times"/>
          <w:sz w:val="24"/>
          <w:szCs w:val="24"/>
        </w:rPr>
        <w:t>-</w:t>
      </w:r>
      <w:hyperlink r:id="rId12" w:anchor="sid52992" w:history="1">
        <w:r w:rsidRPr="00A600F0">
          <w:rPr>
            <w:rFonts w:ascii="Times" w:eastAsia="Times New Roman" w:hAnsi="Times" w:cs="Times"/>
            <w:color w:val="0000FF"/>
            <w:sz w:val="24"/>
            <w:szCs w:val="24"/>
            <w:u w:val="single"/>
          </w:rPr>
          <w:t>12. §</w:t>
        </w:r>
      </w:hyperlink>
      <w:r w:rsidRPr="00A600F0">
        <w:rPr>
          <w:rFonts w:ascii="Times" w:eastAsia="Times New Roman" w:hAnsi="Times" w:cs="Times"/>
          <w:sz w:val="24"/>
          <w:szCs w:val="24"/>
        </w:rPr>
        <w:t>-ában foglalt feltételeket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hulladékgazdálkodási közszolgáltatás kötelező igénybevétele</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6.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Az ingatlanhasználó köteles a hulladékgazdálkodási közszolgáltatást igénybe venni, továbbá köteles a települési hulladék gyűjtésére a közszolgáltató szállítóeszközéhez rendszeresített gyűjtőedényt használni.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Az önkormányzati hulladékgazdálkodási közfeladat ellátásának rendje és módja</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7.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sz w:val="24"/>
          <w:szCs w:val="24"/>
        </w:rPr>
        <w:t xml:space="preserve">(1)  A hulladék begyűjtésének, elszállításának gyakorisága: a közszolgáltató az országos településrendezési és építési követelményekről szóló 253/1997. (XII. 20.) Korm. rendelet (a továbbiakban: OTÉK) szerinti nagyvárosias lakóterület esetén heti két alkalommal, egyéb, az OTÉK által meghatározott terület esetén heti egy alkalommal köteles az ingatlanhasználó által a közszolgáltatáshoz rendszeresített gyűjtőedényben összegyűjtött vegyes települési hulladékot elszállítani. Az OTÉK által meghatározott területeket a hulladékgazdálkodási közszolgáltatás körébe tartozó hulladékkal kapcsolatos közegészségügyi követelményekről szóló 13/2017. (VI.12.) EMMI rendelet 1. mellékletének 1. táblázata tartalmazza. Az elkülönítetten gyűjtött települési hulladék elszállítási gyakoriságát jelen rendelet 15. §-a tartalmazza.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gyűjtőedények méretének és számának meghatározásakor két ürítés közötti időszakra ingatlanonként legkevesebb 4 liter/fő/nap hulladékmennyiséget kell figyelembe venni.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Ha az ingatlanon keletkező hulladék mennyisége nem rendszeresen, hanem alkalmilag haladja meg az átadott gyűjtőedény űrtartalmát, úgy a közszolgáltató külön díjazás ellenében az ingatlanhasználó rendelkezésére bocsátott műanyagzsákban elszállítja a gyűjtőedényzet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sz w:val="24"/>
          <w:szCs w:val="24"/>
        </w:rPr>
        <w:t xml:space="preserve">A településen keletkező komposztálásra alkalmas növényi hulladék (zöldhulladék) elhelyezésére a Képviselő-testület a Sáp Sportpálya mellett zöldhulladék gyűjtő pontot jelöli ki. Közszolgáltató a zöldhulladék átvételét január, április, május, június, július, augusztus, szeptember, október és november hónapokban havi egy alkalommal biztosítja.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Az ingatlanhasználó kötelezettségei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8.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Az ingatlanhasználó köteles az ingatlanán képződő települési hulladékot elkülönítetten gyűjteni az e rendeletben meghatározott módon és helyen, valamint a közszolgáltatónak átadni. Alapvető kötelessége e tekintetben, hogy:</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a települési  hulladékot – különös tekintettel a hulladék további kezelésére – az elszállításra való átvételig gyűjtse, illetve tárolja.</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Az ingatlanhasználó köteles a közszolgáltatónak 8 napon belül bejelenteni személyes adatait (a közszolgáltatást igénybevevő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Az ingatlanhasználót nem terheli az (1.) bekezdésben foglalt kötelezettség az olyan építési engedély köteles felépítménnyel nem rendelkező ingatlana tekintetében, ahol nem tartózkodik és hulladék sem keletkezik.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Az ingatlanhasználó köteles gondoskodni a gyűjtőedények tisztántartásáról, fertőtlenítéséről, rendeltetésszerű használatáról, valamint környezetük tisztántartásáról.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közszolgáltató kötelezettségei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9.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lomtalanítás körébe tartozó lomhulladékot az ingatlanhasználóktól összegyűjti, illetve átveszi és elszállítja.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 településen keletkezett zöldhulladékot az általa üzemeltett létesítményben átveszi.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Gondoskodik az (1), (2) és (3) pontban meghatározott hulladékgazdálkodási közszolgáltatás körébe tartozó hulladékok kezeléséről.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A hulladékgazdálkodási közszolgáltatással érintett hulladékgazdálkodási létesítményt üzemelteti.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(7) A közszolgáltató munkaszüneti napok miatti ürítési nap áthelyezéséről az ingatlanhasználókat hirdetményben köteles tájékoztatni.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Az üdülőingatlanra vonatkozó rendelkezések</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10.§</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sz w:val="24"/>
          <w:szCs w:val="24"/>
        </w:rPr>
        <w:t>Az üdülőingatlanok esetében – amennyiben azokban állandó jelleggel senki sem tartózkodik – a közszolgáltató április 1. és szeptember 30. között biztosítja a hulladékgazdálkodási közszolgáltatást heti egy alkalommal történő gyakorisággal.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hulladék gyűjtésére és elszállításra való átadására szolgáló gyűjtőedények</w:t>
      </w: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elhelyezésével, használatával és kezelésével kapcsolatos kötelezettségek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11.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közterület tisztántartására vonatkozó részletes szabályok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Az ingatlanhasználó köteles gondoskodni a gyűjtőedény környezetének tisztántartásáról.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Közterületen tilos bármilyen olyan anyagot kihelyezni (szemét, hulladék, veszélyes anyag stb.), amely veszélyezteti a közterület jellegét, annak rendeltetésszerű használatát, veszélyezteti a környezetet és szennyezést okoz.</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(6) Az ingatlan előtti járda tisztántartása az ingatlan tényleges használójának, illetve tulajdonosának kötelessége, beleértve az általános tisztítást, síkosság mentesítést,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12.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közszolgáltatás körében a települési hulladék elszállítását szolgáló gyűjtőedények: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numPr>
          <w:ilvl w:val="0"/>
          <w:numId w:val="1"/>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120 literes gyűjtőedény</w:t>
      </w:r>
    </w:p>
    <w:p w:rsidR="00A600F0" w:rsidRPr="00A600F0" w:rsidRDefault="00A600F0" w:rsidP="00A600F0">
      <w:pPr>
        <w:numPr>
          <w:ilvl w:val="0"/>
          <w:numId w:val="1"/>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240 literes gyűjtőedény</w:t>
      </w:r>
    </w:p>
    <w:p w:rsidR="00A600F0" w:rsidRPr="00A600F0" w:rsidRDefault="00A600F0" w:rsidP="00A600F0">
      <w:pPr>
        <w:numPr>
          <w:ilvl w:val="0"/>
          <w:numId w:val="1"/>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1100 literes gyűjtőedény</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közszolgáltatás körében az alábbi köztisztasági zsákok használhatók:</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egyedi jelölésű, a szolgáltató emblémájával ellátott többlethulladék elhelyezésére szolgáló zsák,</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b) egyedi jelölésű, a szolgáltató emblémájával ellátott szelektív hulladékgyűjtő zsák.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 szállítást szolgáló eszközökben elhelyezhető települési hulladék súlya:</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a)   120 literes gyűjtőedény esetében legfeljebb 25 kg, azonban a 60 liter űrmértékű szolgáltatás igénybe vétele esetében legfeljebb 12 kg, a 80 liter űrmértékű szolgáltatás igénybe vétele esetében legfeljebb 17 kg,</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b)    240 literes gyűjtőedény esetében legfeljebb 50 kg,</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c)    1100 literes gyűjtőedény esetében legfeljebb 250 kg,</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d)    szolgáltató emblémájával jelzett zsák esetén olyan mennyiség, hogy a zsák szája beköthető legyen.</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(7) Az ingatlanhasználó a Korm. rendelet 7. § (1) bekezdése alapján az alábbi legkisebb űrmértékű edényzetek választására jogosult, és a választott gyűjtőedény űrmértéke után fizeti meg a közszolgáltatási díjat: </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1 fő természetes személy esetében legalább 60 liter</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b.) 2 vagy több fő természetes személy esetében legalább 80 liter</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 xml:space="preserve">A hulladék elhelyezésével, ártalmatlanításával, </w:t>
      </w: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kapcsolatos rendelkezések</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13.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Az ingatlanhasználó az ingatlanán alkalmilag keletkezett települési hulladékot évi 1 alkalommal, legfeljebb 1 m</w:t>
      </w:r>
      <w:r w:rsidRPr="00A600F0">
        <w:rPr>
          <w:rFonts w:ascii="Times" w:eastAsia="Times New Roman" w:hAnsi="Times" w:cs="Times"/>
          <w:sz w:val="24"/>
          <w:szCs w:val="24"/>
          <w:vertAlign w:val="superscript"/>
        </w:rPr>
        <w:t>3</w:t>
      </w:r>
      <w:r w:rsidRPr="00A600F0">
        <w:rPr>
          <w:rFonts w:ascii="Times" w:eastAsia="Times New Roman" w:hAnsi="Times" w:cs="Times"/>
          <w:sz w:val="24"/>
          <w:szCs w:val="24"/>
        </w:rPr>
        <w:t>, vagy legfeljebb 200 kg mennyiségben – a 3. § (3) bekezdésében meghatározott létesítménybe maga is elszállíthatja és ott a mindenkor érvényes, közszolgáltató által meghatározott kedvezményes díj ellenében elhelyezheti.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Az ingatlanhasználó a közszolgáltató által rendszeresen elszállított, vagy a 7. § (4) bekezdésben, vagy az ezen paragrafus (1) bekezdésében meghatározott  mennyiséget meghaladó települési hulladékát a 3. § (3) bekezdésben megjelölt létesítménybe a mindenkor érvényes díj ellenében elhelyezheti.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14.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közszolgáltató a települési hulladék részét képező elkülönítetten gyűjtött műanyag-, fém-, és papírhulladékot havi egy alkalommal házhoz menően elszállítja.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házhoz menő elkülönített hulladékgyűjtési rendszer az alábbiak szerint vehető igénybe:</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numPr>
          <w:ilvl w:val="0"/>
          <w:numId w:val="2"/>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 xml:space="preserve">Az ingatlanhasználók az egyedi jelzéssel ellátott zsákokban a feliratnak megfelelően kötelesek a műanyag-, fém-, és papírhulladékot gyűjteni. </w:t>
      </w:r>
      <w:r w:rsidRPr="00A600F0">
        <w:rPr>
          <w:rFonts w:ascii="Times" w:eastAsia="Times New Roman" w:hAnsi="Times" w:cs="Times"/>
          <w:b/>
          <w:bCs/>
          <w:sz w:val="24"/>
          <w:szCs w:val="24"/>
        </w:rPr>
        <w:t xml:space="preserve">Ez megfelel a jelenlegi szabályozásnak. </w:t>
      </w:r>
    </w:p>
    <w:p w:rsidR="00A600F0" w:rsidRPr="00A600F0" w:rsidRDefault="00A600F0" w:rsidP="00A600F0">
      <w:pPr>
        <w:numPr>
          <w:ilvl w:val="0"/>
          <w:numId w:val="2"/>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A gyűjtőzsákokat az elkülönített gyűjtésre a közszolgáltató által kijelölt napon helyezhetik ki. A közszolgáltató a hulladékgyűjtő zsákokat az ingatlanhasználó részére az elszállításkor pótolja.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Az üveghulladékot a közszolgáltató a közterületen üzemeltetett hulladékgyűjtő szigeteken veszi át. A hulladékgyűjtő szigeten csak üveghulladékot lehet elhelyezni, az arra rendszeresített edényzetben (konténer).</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A gyűjtőszigeten elhelyezett hulladékot szükség szerint, de legalább kéthetente egy alkalommal a közszolgáltató elszállítja.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lomhulladékra vonatkozó rendelkezés</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15.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közszolgáltatás keretében rendszeresített gyűjtőedény méreteit meghaladó háztartási hulladék tekintetében a lomtalanítás megszervezéséről és lebonyolításáról a közszolgáltató gondoskodik évente legalább egy alkalommal.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lomhulladék elszállítását és ártalmatlanítását a Közszolgáltató végzi.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 lomhulladékot az ingatlanhasználó a közszolgáltató által előzetesen megjelölt időpontban helyezheti ki elszállítás céljából arra a helyre, amelyet a közszolgáltató előzetesen megjelölt.</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A hulladékgazdálkodási közszolgáltatási díj</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16.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közszolgáltatási díj megfizetésére az az ingatlanhasználó köteles, aki a jelen rendeletben foglaltak szerint a hulladékgazdálkodási közszolgáltatás igénybevételére köteles.</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sz w:val="24"/>
          <w:szCs w:val="24"/>
        </w:rPr>
        <w:t>(2)       Az ingatlanhasználó a közszolgáltatási díjat a Koordináló szerv részére – a teljesített közszolgáltatás alapján, számla ellenében – köteles megfizetni. A Koordináló szerv a közszolgáltatási díjról negyedévente állít ki számlát.”</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 közszolgáltatás díját a számla kézhezvételétől számított 15 napon belül kell kiegyenlíteni.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 xml:space="preserve">17/A. § </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közszolgáltató a közszolgáltatási díjbeszedéssel kapcsolatos adatszolgáltatási kötelezettsége teljesítéséhez és ügyfélszolgálati feladatainak ellátásához szükséges személyes adatokat kezel.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közszolgáltató az adatokat kizárólag közszolgáltatási tevékenységéhez kapcsolódóan, jogszabályban meghatározott kötelezettségei teljesítése érdekében használhatja fel.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Záró rendelkezések</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b/>
          <w:bCs/>
          <w:sz w:val="24"/>
          <w:szCs w:val="24"/>
        </w:rPr>
        <w:t>18.§</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(1)   A jelen rendelet 2018. október 1-jén lép hatályba.</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(2) A rendelet hatálybalépésével egyidejűleg a települési hulladékkal kapcsolatos hulladékgazdálkodási közszolgáltatásról szóló 7/2016.(VI.30.) önkormányzati rendelet, valamint az azt módosító 13/2017.(XI.24.) számú önkormányzati rendelet hatályát veszti.</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(3) Ez a rendelet a Magyar Köztársaság, az Európai Közösségek és azok tagállamai között társulás létesítéséről szóló Brüsszelben, 1991. december 16-án aláírt Európai Megállapodás tárgykörében a megállapodást kihirdető 1994. évi I. törvény 3. §-ával összhangban, az Európai Közösségeknek a következő jogszabályával összeegyeztethető szabályozást tartalmaz: a Tanács 75/442 EGK irányelve a hulladékról.</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(4)   E rendelet a belső piaci szolgáltatásokról szóló 2006/123/EK. irányelv 15. cikk (3) bekezdésének megfelelő követelményt tartalmaz.</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i/>
          <w:iCs/>
          <w:sz w:val="24"/>
          <w:szCs w:val="24"/>
        </w:rPr>
        <w:t>            polgármester                                                                              jegyző</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i/>
          <w:iCs/>
          <w:sz w:val="24"/>
          <w:szCs w:val="24"/>
        </w:rPr>
        <w:t>A rendeletet 2018. október 01. napján kihirdettem:</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sz w:val="24"/>
          <w:szCs w:val="24"/>
        </w:rPr>
        <w:t>                                                                                                         </w:t>
      </w:r>
    </w:p>
    <w:p w:rsidR="00A600F0" w:rsidRPr="00A600F0" w:rsidRDefault="00A600F0" w:rsidP="00A600F0">
      <w:pPr>
        <w:spacing w:after="20" w:line="240" w:lineRule="auto"/>
        <w:ind w:firstLine="180"/>
        <w:rPr>
          <w:rFonts w:ascii="Times" w:eastAsia="Times New Roman" w:hAnsi="Times" w:cs="Times"/>
          <w:sz w:val="24"/>
          <w:szCs w:val="24"/>
        </w:rPr>
      </w:pPr>
      <w:r w:rsidRPr="00A600F0">
        <w:rPr>
          <w:rFonts w:ascii="Times" w:eastAsia="Times New Roman" w:hAnsi="Times" w:cs="Times"/>
          <w:b/>
          <w:bCs/>
          <w:i/>
          <w:iCs/>
          <w:sz w:val="24"/>
          <w:szCs w:val="24"/>
        </w:rPr>
        <w:t>                                                                                                              jegyző</w:t>
      </w: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numPr>
          <w:ilvl w:val="0"/>
          <w:numId w:val="3"/>
        </w:numPr>
        <w:spacing w:before="100" w:beforeAutospacing="1" w:after="100" w:afterAutospacing="1" w:line="240" w:lineRule="auto"/>
        <w:rPr>
          <w:rFonts w:ascii="Times" w:eastAsia="Times New Roman" w:hAnsi="Times" w:cs="Times"/>
          <w:sz w:val="24"/>
          <w:szCs w:val="24"/>
        </w:rPr>
      </w:pPr>
      <w:r w:rsidRPr="00A600F0">
        <w:rPr>
          <w:rFonts w:ascii="Times" w:eastAsia="Times New Roman" w:hAnsi="Times" w:cs="Times"/>
          <w:sz w:val="24"/>
          <w:szCs w:val="24"/>
        </w:rPr>
        <w:t>számú melléklet</w:t>
      </w: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p>
    <w:p w:rsidR="00A600F0" w:rsidRPr="00A600F0" w:rsidRDefault="00A600F0" w:rsidP="00A600F0">
      <w:pPr>
        <w:spacing w:after="20" w:line="240" w:lineRule="auto"/>
        <w:ind w:firstLine="180"/>
        <w:jc w:val="center"/>
        <w:rPr>
          <w:rFonts w:ascii="Times" w:eastAsia="Times New Roman" w:hAnsi="Times" w:cs="Times"/>
          <w:sz w:val="24"/>
          <w:szCs w:val="24"/>
        </w:rPr>
      </w:pPr>
      <w:r w:rsidRPr="00A600F0">
        <w:rPr>
          <w:rFonts w:ascii="Times" w:eastAsia="Times New Roman" w:hAnsi="Times" w:cs="Times"/>
          <w:sz w:val="24"/>
          <w:szCs w:val="24"/>
        </w:rPr>
        <w:t>Öblösüveg gyűjtésére szolgáló hulladékgyűjtő szigetek</w:t>
      </w:r>
    </w:p>
    <w:p w:rsidR="00A600F0" w:rsidRPr="00A600F0" w:rsidRDefault="00A600F0" w:rsidP="00A600F0">
      <w:pPr>
        <w:spacing w:after="20" w:line="240" w:lineRule="auto"/>
        <w:ind w:firstLine="180"/>
        <w:jc w:val="center"/>
        <w:rPr>
          <w:rFonts w:ascii="Times" w:eastAsia="Times New Roman" w:hAnsi="Times" w:cs="Time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3"/>
        <w:gridCol w:w="4103"/>
      </w:tblGrid>
      <w:tr w:rsidR="00A600F0" w:rsidRPr="00A600F0" w:rsidTr="00A600F0">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Sáp</w:t>
            </w:r>
          </w:p>
        </w:tc>
      </w:tr>
      <w:tr w:rsidR="00A600F0" w:rsidRPr="00A600F0" w:rsidTr="00A600F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Hely</w:t>
            </w:r>
          </w:p>
        </w:tc>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Üveggyűjtő konténer</w:t>
            </w:r>
          </w:p>
        </w:tc>
      </w:tr>
      <w:tr w:rsidR="00A600F0" w:rsidRPr="00A600F0" w:rsidTr="00A600F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Fő u. 13.</w:t>
            </w:r>
          </w:p>
        </w:tc>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1</w:t>
            </w:r>
          </w:p>
        </w:tc>
      </w:tr>
      <w:tr w:rsidR="00A600F0" w:rsidRPr="00A600F0" w:rsidTr="00A600F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Összesen:</w:t>
            </w:r>
          </w:p>
        </w:tc>
        <w:tc>
          <w:tcPr>
            <w:tcW w:w="4103" w:type="dxa"/>
            <w:tcBorders>
              <w:top w:val="outset" w:sz="6" w:space="0" w:color="auto"/>
              <w:left w:val="outset" w:sz="6" w:space="0" w:color="auto"/>
              <w:bottom w:val="outset" w:sz="6" w:space="0" w:color="auto"/>
              <w:right w:val="outset" w:sz="6" w:space="0" w:color="auto"/>
            </w:tcBorders>
            <w:vAlign w:val="center"/>
            <w:hideMark/>
          </w:tcPr>
          <w:p w:rsidR="00A600F0" w:rsidRPr="00A600F0" w:rsidRDefault="00A600F0" w:rsidP="00A600F0">
            <w:pPr>
              <w:spacing w:after="20" w:line="240" w:lineRule="auto"/>
              <w:ind w:firstLine="180"/>
              <w:jc w:val="center"/>
              <w:rPr>
                <w:rFonts w:ascii="Times New Roman" w:eastAsia="Times New Roman" w:hAnsi="Times New Roman" w:cs="Times New Roman"/>
                <w:sz w:val="24"/>
                <w:szCs w:val="24"/>
              </w:rPr>
            </w:pPr>
            <w:r w:rsidRPr="00A600F0">
              <w:rPr>
                <w:rFonts w:ascii="Times New Roman" w:eastAsia="Times New Roman" w:hAnsi="Times New Roman" w:cs="Times New Roman"/>
                <w:sz w:val="24"/>
                <w:szCs w:val="24"/>
              </w:rPr>
              <w:t>1</w:t>
            </w:r>
          </w:p>
        </w:tc>
      </w:tr>
    </w:tbl>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20" w:line="240" w:lineRule="auto"/>
        <w:ind w:firstLine="180"/>
        <w:rPr>
          <w:rFonts w:ascii="Times" w:eastAsia="Times New Roman" w:hAnsi="Times" w:cs="Times"/>
          <w:sz w:val="24"/>
          <w:szCs w:val="24"/>
        </w:rPr>
      </w:pPr>
    </w:p>
    <w:p w:rsidR="00A600F0" w:rsidRPr="00A600F0" w:rsidRDefault="00A600F0" w:rsidP="00A600F0">
      <w:pPr>
        <w:spacing w:after="0" w:line="240" w:lineRule="auto"/>
        <w:rPr>
          <w:rFonts w:ascii="Times" w:eastAsia="Times New Roman" w:hAnsi="Times" w:cs="Times"/>
          <w:sz w:val="24"/>
          <w:szCs w:val="24"/>
        </w:rPr>
      </w:pPr>
    </w:p>
    <w:p w:rsidR="00A600F0" w:rsidRPr="00A600F0" w:rsidRDefault="00A600F0" w:rsidP="00A600F0">
      <w:pPr>
        <w:shd w:val="clear" w:color="auto" w:fill="F2F2F2"/>
        <w:spacing w:after="0" w:line="177" w:lineRule="atLeast"/>
        <w:rPr>
          <w:rFonts w:ascii="Verdana" w:eastAsia="Times New Roman" w:hAnsi="Verdana" w:cs="Times New Roman"/>
          <w:b/>
          <w:bCs/>
          <w:color w:val="969696"/>
          <w:sz w:val="15"/>
          <w:szCs w:val="15"/>
        </w:rPr>
      </w:pPr>
      <w:r w:rsidRPr="00A600F0">
        <w:rPr>
          <w:rFonts w:ascii="Verdana" w:eastAsia="Times New Roman" w:hAnsi="Verdana" w:cs="Times New Roman"/>
          <w:b/>
          <w:bCs/>
          <w:color w:val="969696"/>
          <w:sz w:val="15"/>
          <w:szCs w:val="15"/>
        </w:rPr>
        <w:t>Magyar Közlöny Lap- és Könyvkiadó Kft.</w:t>
      </w:r>
      <w:r w:rsidRPr="00A600F0">
        <w:rPr>
          <w:rFonts w:ascii="Verdana" w:eastAsia="Times New Roman" w:hAnsi="Verdana" w:cs="Times New Roman"/>
          <w:b/>
          <w:bCs/>
          <w:color w:val="969696"/>
          <w:sz w:val="15"/>
          <w:szCs w:val="15"/>
        </w:rPr>
        <w:br/>
      </w:r>
      <w:hyperlink w:history="1">
        <w:r w:rsidRPr="00A600F0">
          <w:rPr>
            <w:rFonts w:ascii="Verdana" w:eastAsia="Times New Roman" w:hAnsi="Verdana" w:cs="Times New Roman"/>
            <w:color w:val="969696"/>
            <w:sz w:val="15"/>
            <w:szCs w:val="15"/>
          </w:rPr>
          <w:t>Az Önkormányzati Rendelettárban elérhető szövegek tekintetében a Közlönykiadó minden jogot fenntart!</w:t>
        </w:r>
      </w:hyperlink>
      <w:r w:rsidRPr="00A600F0">
        <w:rPr>
          <w:rFonts w:ascii="Verdana" w:eastAsia="Times New Roman" w:hAnsi="Verdana" w:cs="Times New Roman"/>
          <w:b/>
          <w:bCs/>
          <w:color w:val="969696"/>
          <w:sz w:val="15"/>
          <w:szCs w:val="15"/>
        </w:rPr>
        <w:t xml:space="preserve"> </w:t>
      </w:r>
    </w:p>
    <w:p w:rsidR="00A31B0E" w:rsidRDefault="00A31B0E"/>
    <w:sectPr w:rsidR="00A31B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1AC4"/>
    <w:multiLevelType w:val="multilevel"/>
    <w:tmpl w:val="1CE2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50DA9"/>
    <w:multiLevelType w:val="multilevel"/>
    <w:tmpl w:val="8C38B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EE8785B"/>
    <w:multiLevelType w:val="multilevel"/>
    <w:tmpl w:val="6D280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A600F0"/>
    <w:rsid w:val="00A31B0E"/>
    <w:rsid w:val="00A600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600F0"/>
    <w:rPr>
      <w:color w:val="0000FF"/>
      <w:u w:val="single"/>
    </w:rPr>
  </w:style>
  <w:style w:type="paragraph" w:styleId="NormlWeb">
    <w:name w:val="Normal (Web)"/>
    <w:basedOn w:val="Norml"/>
    <w:uiPriority w:val="99"/>
    <w:unhideWhenUsed/>
    <w:rsid w:val="00A600F0"/>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A600F0"/>
    <w:rPr>
      <w:b/>
      <w:bCs/>
    </w:rPr>
  </w:style>
  <w:style w:type="character" w:styleId="Kiemels">
    <w:name w:val="Emphasis"/>
    <w:basedOn w:val="Bekezdsalapbettpusa"/>
    <w:uiPriority w:val="20"/>
    <w:qFormat/>
    <w:rsid w:val="00A600F0"/>
    <w:rPr>
      <w:i/>
      <w:iCs/>
    </w:rPr>
  </w:style>
  <w:style w:type="paragraph" w:styleId="Buborkszveg">
    <w:name w:val="Balloon Text"/>
    <w:basedOn w:val="Norml"/>
    <w:link w:val="BuborkszvegChar"/>
    <w:uiPriority w:val="99"/>
    <w:semiHidden/>
    <w:unhideWhenUsed/>
    <w:rsid w:val="00A600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0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335757">
      <w:bodyDiv w:val="1"/>
      <w:marLeft w:val="0"/>
      <w:marRight w:val="0"/>
      <w:marTop w:val="0"/>
      <w:marBottom w:val="0"/>
      <w:divBdr>
        <w:top w:val="none" w:sz="0" w:space="0" w:color="auto"/>
        <w:left w:val="none" w:sz="0" w:space="0" w:color="auto"/>
        <w:bottom w:val="none" w:sz="0" w:space="0" w:color="auto"/>
        <w:right w:val="none" w:sz="0" w:space="0" w:color="auto"/>
      </w:divBdr>
      <w:divsChild>
        <w:div w:id="840586605">
          <w:marLeft w:val="0"/>
          <w:marRight w:val="0"/>
          <w:marTop w:val="0"/>
          <w:marBottom w:val="0"/>
          <w:divBdr>
            <w:top w:val="none" w:sz="0" w:space="0" w:color="auto"/>
            <w:left w:val="none" w:sz="0" w:space="0" w:color="auto"/>
            <w:bottom w:val="none" w:sz="0" w:space="0" w:color="auto"/>
            <w:right w:val="none" w:sz="0" w:space="0" w:color="auto"/>
          </w:divBdr>
        </w:div>
        <w:div w:id="2130464071">
          <w:marLeft w:val="0"/>
          <w:marRight w:val="0"/>
          <w:marTop w:val="0"/>
          <w:marBottom w:val="0"/>
          <w:divBdr>
            <w:top w:val="none" w:sz="0" w:space="0" w:color="auto"/>
            <w:left w:val="none" w:sz="0" w:space="0" w:color="auto"/>
            <w:bottom w:val="none" w:sz="0" w:space="0" w:color="auto"/>
            <w:right w:val="none" w:sz="0" w:space="0" w:color="auto"/>
          </w:divBdr>
          <w:divsChild>
            <w:div w:id="1598905516">
              <w:marLeft w:val="0"/>
              <w:marRight w:val="0"/>
              <w:marTop w:val="160"/>
              <w:marBottom w:val="80"/>
              <w:divBdr>
                <w:top w:val="none" w:sz="0" w:space="0" w:color="auto"/>
                <w:left w:val="none" w:sz="0" w:space="0" w:color="auto"/>
                <w:bottom w:val="none" w:sz="0" w:space="0" w:color="auto"/>
                <w:right w:val="none" w:sz="0" w:space="0" w:color="auto"/>
              </w:divBdr>
            </w:div>
            <w:div w:id="1511793649">
              <w:marLeft w:val="0"/>
              <w:marRight w:val="0"/>
              <w:marTop w:val="0"/>
              <w:marBottom w:val="320"/>
              <w:divBdr>
                <w:top w:val="none" w:sz="0" w:space="0" w:color="auto"/>
                <w:left w:val="none" w:sz="0" w:space="0" w:color="auto"/>
                <w:bottom w:val="none" w:sz="0" w:space="0" w:color="auto"/>
                <w:right w:val="none" w:sz="0" w:space="0" w:color="auto"/>
              </w:divBdr>
            </w:div>
          </w:divsChild>
        </w:div>
        <w:div w:id="682125630">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3181</Words>
  <Characters>21952</Characters>
  <Application>Microsoft Office Word</Application>
  <DocSecurity>0</DocSecurity>
  <Lines>182</Lines>
  <Paragraphs>50</Paragraphs>
  <ScaleCrop>false</ScaleCrop>
  <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2020-04-01T08:50:00Z</dcterms:created>
  <dcterms:modified xsi:type="dcterms:W3CDTF">2020-04-01T08:50:00Z</dcterms:modified>
</cp:coreProperties>
</file>